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Fredoka" w:cs="Fredoka" w:eastAsia="Fredoka" w:hAnsi="Fredoka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Fredoka" w:cs="Fredoka" w:eastAsia="Fredoka" w:hAnsi="Fredoka"/>
          <w:sz w:val="28"/>
          <w:szCs w:val="28"/>
          <w:rtl w:val="0"/>
        </w:rPr>
        <w:t xml:space="preserve">9th Grade Supply List for 2025-2026 </w:t>
      </w:r>
    </w:p>
    <w:p w:rsidR="00000000" w:rsidDel="00000000" w:rsidP="00000000" w:rsidRDefault="00000000" w:rsidRPr="00000000" w14:paraId="00000002">
      <w:pPr>
        <w:rPr>
          <w:rFonts w:ascii="Fredoka" w:cs="Fredoka" w:eastAsia="Fredoka" w:hAnsi="Fredok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725"/>
        <w:gridCol w:w="5910"/>
        <w:tblGridChange w:id="0">
          <w:tblGrid>
            <w:gridCol w:w="1725"/>
            <w:gridCol w:w="1725"/>
            <w:gridCol w:w="5910"/>
          </w:tblGrid>
        </w:tblGridChange>
      </w:tblGrid>
      <w:tr>
        <w:trPr>
          <w:cantSplit w:val="0"/>
          <w:trHeight w:val="437.180000000000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Subject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Supplies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Karla" w:cs="Karla" w:eastAsia="Karla" w:hAnsi="Karla"/>
                <w:b w:val="1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Charged Laptop/ Device with a labeled charger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Mrs. Burgett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Pens/ Pencils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Mrs. Clark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pens/pencils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1 in binder and/or folder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Highlighter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Ruler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Graphing Calculator (TI-NSpire)-not required to purchase but will be used throughout 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Mrs. Lombardo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pens/pencils (Black or Blue ink on Formal Assignments when handwritten)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Notecards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Sticky notes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Highlighters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Loose-leaf paper in a folder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**All items may be shared between classes, but be sure to have enough to go around.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Ms. Schuttig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Pens/Pencils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Spanish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Sra.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Pens/Pencils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Colored pencils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Folder or 1 inch binder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redoka">
    <w:embedRegular w:fontKey="{00000000-0000-0000-0000-000000000000}" r:id="rId1" w:subsetted="0"/>
    <w:embedBold w:fontKey="{00000000-0000-0000-0000-000000000000}" r:id="rId2" w:subsetted="0"/>
  </w:font>
  <w:font w:name="Karl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edoka-regular.ttf"/><Relationship Id="rId2" Type="http://schemas.openxmlformats.org/officeDocument/2006/relationships/font" Target="fonts/Fredoka-bold.ttf"/><Relationship Id="rId3" Type="http://schemas.openxmlformats.org/officeDocument/2006/relationships/font" Target="fonts/Karla-regular.ttf"/><Relationship Id="rId4" Type="http://schemas.openxmlformats.org/officeDocument/2006/relationships/font" Target="fonts/Karla-bold.ttf"/><Relationship Id="rId5" Type="http://schemas.openxmlformats.org/officeDocument/2006/relationships/font" Target="fonts/Karla-italic.ttf"/><Relationship Id="rId6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